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s="宋体"/>
          <w:b/>
          <w:sz w:val="40"/>
          <w:szCs w:val="40"/>
        </w:rPr>
      </w:pPr>
      <w:r>
        <w:rPr>
          <w:rFonts w:hint="eastAsia" w:ascii="方正小标宋简体" w:hAnsi="宋体" w:eastAsia="方正小标宋简体" w:cs="宋体"/>
          <w:b/>
          <w:sz w:val="40"/>
          <w:szCs w:val="40"/>
        </w:rPr>
        <w:t>房县</w:t>
      </w:r>
      <w:r>
        <w:rPr>
          <w:rFonts w:hint="eastAsia" w:ascii="方正小标宋简体" w:hAnsi="宋体" w:eastAsia="方正小标宋简体" w:cs="宋体"/>
          <w:b/>
          <w:sz w:val="40"/>
          <w:szCs w:val="40"/>
          <w:lang w:eastAsia="zh-CN"/>
        </w:rPr>
        <w:t>文化和旅游局</w:t>
      </w:r>
      <w:r>
        <w:rPr>
          <w:rFonts w:hint="eastAsia" w:ascii="方正小标宋简体" w:hAnsi="宋体" w:eastAsia="方正小标宋简体" w:cs="宋体"/>
          <w:b/>
          <w:sz w:val="40"/>
          <w:szCs w:val="40"/>
        </w:rPr>
        <w:t>“双随机、一公开”抽查事项清单</w:t>
      </w:r>
    </w:p>
    <w:p>
      <w:pPr>
        <w:spacing w:line="580" w:lineRule="exact"/>
        <w:ind w:firstLine="723" w:firstLineChars="300"/>
        <w:rPr>
          <w:rFonts w:hint="default" w:ascii="宋体" w:hAnsi="宋体" w:eastAsia="宋体" w:cs="宋体"/>
          <w:b/>
          <w:sz w:val="24"/>
          <w:szCs w:val="24"/>
          <w:lang w:val="en-US" w:eastAsia="zh-CN"/>
        </w:rPr>
      </w:pPr>
      <w:r>
        <w:rPr>
          <w:rFonts w:hint="eastAsia" w:ascii="宋体" w:hAnsi="宋体" w:eastAsia="宋体" w:cs="宋体"/>
          <w:b/>
          <w:sz w:val="24"/>
          <w:szCs w:val="24"/>
        </w:rPr>
        <w:t xml:space="preserve">      </w:t>
      </w:r>
      <w:r>
        <w:rPr>
          <w:rFonts w:ascii="宋体" w:hAnsi="宋体" w:eastAsia="宋体" w:cs="宋体"/>
          <w:b/>
          <w:sz w:val="24"/>
          <w:szCs w:val="24"/>
        </w:rPr>
        <w:t xml:space="preserve">                                       </w:t>
      </w:r>
      <w:r>
        <w:rPr>
          <w:rFonts w:hint="eastAsia" w:ascii="宋体" w:hAnsi="宋体" w:eastAsia="宋体" w:cs="宋体"/>
          <w:b/>
          <w:sz w:val="24"/>
          <w:szCs w:val="24"/>
        </w:rPr>
        <w:t xml:space="preserve"> </w:t>
      </w:r>
      <w:r>
        <w:rPr>
          <w:rFonts w:ascii="宋体" w:hAnsi="宋体" w:eastAsia="宋体" w:cs="宋体"/>
          <w:b/>
          <w:sz w:val="24"/>
          <w:szCs w:val="24"/>
        </w:rPr>
        <w:t xml:space="preserve">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37"/>
        <w:gridCol w:w="2265"/>
        <w:gridCol w:w="1140"/>
        <w:gridCol w:w="1260"/>
        <w:gridCol w:w="1058"/>
        <w:gridCol w:w="1222"/>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7" w:type="dxa"/>
            <w:vMerge w:val="restart"/>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3302" w:type="dxa"/>
            <w:gridSpan w:val="2"/>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抽查项目</w:t>
            </w:r>
          </w:p>
        </w:tc>
        <w:tc>
          <w:tcPr>
            <w:tcW w:w="1140" w:type="dxa"/>
            <w:vMerge w:val="restart"/>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检查</w:t>
            </w:r>
          </w:p>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sz w:val="24"/>
                <w:szCs w:val="24"/>
              </w:rPr>
            </w:pPr>
            <w:r>
              <w:rPr>
                <w:rFonts w:hint="eastAsia" w:ascii="宋体" w:hAnsi="宋体" w:eastAsia="宋体" w:cs="宋体"/>
                <w:kern w:val="0"/>
                <w:sz w:val="24"/>
                <w:szCs w:val="24"/>
                <w:lang w:bidi="ar"/>
              </w:rPr>
              <w:t>对象</w:t>
            </w:r>
          </w:p>
        </w:tc>
        <w:tc>
          <w:tcPr>
            <w:tcW w:w="1260" w:type="dxa"/>
            <w:vMerge w:val="restart"/>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事项</w:t>
            </w:r>
          </w:p>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sz w:val="24"/>
                <w:szCs w:val="24"/>
              </w:rPr>
            </w:pPr>
            <w:r>
              <w:rPr>
                <w:rFonts w:hint="eastAsia" w:ascii="宋体" w:hAnsi="宋体" w:eastAsia="宋体" w:cs="宋体"/>
                <w:kern w:val="0"/>
                <w:sz w:val="24"/>
                <w:szCs w:val="24"/>
                <w:lang w:bidi="ar"/>
              </w:rPr>
              <w:t>类别</w:t>
            </w:r>
          </w:p>
        </w:tc>
        <w:tc>
          <w:tcPr>
            <w:tcW w:w="1058" w:type="dxa"/>
            <w:vMerge w:val="restart"/>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检查</w:t>
            </w:r>
          </w:p>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sz w:val="24"/>
                <w:szCs w:val="24"/>
              </w:rPr>
            </w:pPr>
            <w:r>
              <w:rPr>
                <w:rFonts w:hint="eastAsia" w:ascii="宋体" w:hAnsi="宋体" w:eastAsia="宋体" w:cs="宋体"/>
                <w:kern w:val="0"/>
                <w:sz w:val="24"/>
                <w:szCs w:val="24"/>
                <w:lang w:bidi="ar"/>
              </w:rPr>
              <w:t>方式</w:t>
            </w:r>
          </w:p>
        </w:tc>
        <w:tc>
          <w:tcPr>
            <w:tcW w:w="1222" w:type="dxa"/>
            <w:vMerge w:val="restart"/>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检查</w:t>
            </w:r>
          </w:p>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sz w:val="24"/>
                <w:szCs w:val="24"/>
              </w:rPr>
            </w:pPr>
            <w:r>
              <w:rPr>
                <w:rFonts w:hint="eastAsia" w:ascii="宋体" w:hAnsi="宋体" w:eastAsia="宋体" w:cs="宋体"/>
                <w:kern w:val="0"/>
                <w:sz w:val="24"/>
                <w:szCs w:val="24"/>
                <w:lang w:bidi="ar"/>
              </w:rPr>
              <w:t>主体</w:t>
            </w:r>
          </w:p>
        </w:tc>
        <w:tc>
          <w:tcPr>
            <w:tcW w:w="4272" w:type="dxa"/>
            <w:vMerge w:val="restart"/>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sz w:val="24"/>
                <w:szCs w:val="24"/>
              </w:rPr>
            </w:pPr>
            <w:r>
              <w:rPr>
                <w:rFonts w:hint="eastAsia" w:ascii="宋体" w:hAnsi="宋体" w:eastAsia="宋体" w:cs="宋体"/>
                <w:kern w:val="0"/>
                <w:sz w:val="24"/>
                <w:szCs w:val="24"/>
                <w:lang w:bidi="ar"/>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17" w:type="dxa"/>
            <w:vMerge w:val="continue"/>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1037"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抽查</w:t>
            </w:r>
          </w:p>
          <w:p>
            <w:pPr>
              <w:keepNext w:val="0"/>
              <w:keepLines w:val="0"/>
              <w:widowControl/>
              <w:suppressLineNumbers w:val="0"/>
              <w:spacing w:before="0" w:beforeAutospacing="0" w:after="0" w:afterAutospacing="0" w:line="58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类别</w:t>
            </w: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抽</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bidi="ar"/>
              </w:rPr>
              <w:t>查</w:t>
            </w:r>
            <w:r>
              <w:rPr>
                <w:rFonts w:hint="eastAsia" w:ascii="宋体" w:hAnsi="宋体" w:eastAsia="宋体" w:cs="宋体"/>
                <w:kern w:val="0"/>
                <w:sz w:val="24"/>
                <w:szCs w:val="24"/>
                <w:lang w:val="en-US" w:eastAsia="zh-CN" w:bidi="ar"/>
              </w:rPr>
              <w:t xml:space="preserve">  </w:t>
            </w:r>
          </w:p>
          <w:p>
            <w:pPr>
              <w:keepNext w:val="0"/>
              <w:keepLines w:val="0"/>
              <w:widowControl/>
              <w:suppressLineNumbers w:val="0"/>
              <w:spacing w:before="0" w:beforeAutospacing="0" w:after="0" w:afterAutospacing="0" w:line="580" w:lineRule="exact"/>
              <w:ind w:left="0" w:right="0"/>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事</w:t>
            </w:r>
            <w:r>
              <w:rPr>
                <w:rFonts w:hint="eastAsia" w:ascii="宋体" w:hAnsi="宋体" w:eastAsia="宋体" w:cs="宋体"/>
                <w:kern w:val="0"/>
                <w:sz w:val="24"/>
                <w:szCs w:val="24"/>
                <w:lang w:val="en-US" w:eastAsia="zh-CN" w:bidi="ar"/>
              </w:rPr>
              <w:t xml:space="preserve">  </w:t>
            </w:r>
            <w:r>
              <w:rPr>
                <w:rFonts w:hint="eastAsia" w:ascii="宋体" w:hAnsi="宋体" w:eastAsia="宋体" w:cs="宋体"/>
                <w:kern w:val="0"/>
                <w:sz w:val="24"/>
                <w:szCs w:val="24"/>
                <w:lang w:bidi="ar"/>
              </w:rPr>
              <w:t>项</w:t>
            </w:r>
          </w:p>
        </w:tc>
        <w:tc>
          <w:tcPr>
            <w:tcW w:w="1140" w:type="dxa"/>
            <w:vMerge w:val="continue"/>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1260" w:type="dxa"/>
            <w:vMerge w:val="continue"/>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1058" w:type="dxa"/>
            <w:vMerge w:val="continue"/>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1222" w:type="dxa"/>
            <w:vMerge w:val="continue"/>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4272" w:type="dxa"/>
            <w:vMerge w:val="continue"/>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037"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both"/>
              <w:textAlignment w:val="top"/>
              <w:rPr>
                <w:rFonts w:hint="eastAsia" w:ascii="宋体" w:hAnsi="宋体" w:eastAsia="宋体" w:cs="宋体"/>
                <w:sz w:val="24"/>
                <w:szCs w:val="24"/>
              </w:rPr>
            </w:pPr>
            <w:r>
              <w:rPr>
                <w:rFonts w:hint="eastAsia" w:ascii="宋体" w:hAnsi="宋体" w:eastAsia="宋体" w:cs="宋体"/>
                <w:sz w:val="24"/>
                <w:szCs w:val="24"/>
              </w:rPr>
              <w:t>对互联网上网服务营业场所（网吧）经营活动的监督检查</w:t>
            </w:r>
          </w:p>
        </w:tc>
        <w:tc>
          <w:tcPr>
            <w:tcW w:w="114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default"/>
                <w:sz w:val="18"/>
                <w:szCs w:val="18"/>
              </w:rPr>
            </w:pPr>
            <w:r>
              <w:rPr>
                <w:rFonts w:hint="eastAsia" w:ascii="宋体" w:hAnsi="宋体" w:eastAsia="宋体" w:cs="宋体"/>
                <w:kern w:val="0"/>
                <w:sz w:val="18"/>
                <w:szCs w:val="18"/>
                <w:lang w:val="en-US" w:eastAsia="zh-CN" w:bidi="ar"/>
              </w:rPr>
              <w:t>县级互联网上网服务营业场所经营单位</w:t>
            </w:r>
          </w:p>
          <w:p>
            <w:pPr>
              <w:keepNext w:val="0"/>
              <w:keepLines w:val="0"/>
              <w:widowControl/>
              <w:suppressLineNumbers w:val="0"/>
              <w:spacing w:before="0" w:beforeAutospacing="0" w:after="0" w:afterAutospacing="0" w:line="580" w:lineRule="exact"/>
              <w:ind w:left="0" w:right="0"/>
              <w:jc w:val="both"/>
              <w:textAlignment w:val="top"/>
              <w:rPr>
                <w:rFonts w:hint="eastAsia" w:ascii="宋体" w:hAnsi="宋体" w:eastAsia="宋体" w:cs="宋体"/>
                <w:sz w:val="24"/>
                <w:szCs w:val="24"/>
                <w:lang w:eastAsia="zh-CN"/>
              </w:rPr>
            </w:pP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网络巡查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default"/>
                <w:szCs w:val="20"/>
              </w:rPr>
            </w:pPr>
            <w:r>
              <w:rPr>
                <w:rFonts w:hint="eastAsia" w:ascii="宋体" w:hAnsi="宋体" w:eastAsia="宋体" w:cs="宋体"/>
                <w:color w:val="000000"/>
                <w:kern w:val="0"/>
                <w:sz w:val="18"/>
                <w:szCs w:val="18"/>
                <w:lang w:val="en-US" w:eastAsia="zh-CN" w:bidi="ar"/>
              </w:rPr>
              <w:t>《互联网上网服务营业场所管理条例》（国务院2016年2月6日修正版）第四条县级以上人民政府文化行政部门负责互联网上网服务营业场所经营单位的设立审批，并负责对依法设立的互联网上网服务营业场所经营单位经营活动的监督管理。</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037"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pStyle w:val="2"/>
              <w:keepNext w:val="0"/>
              <w:keepLines w:val="0"/>
              <w:widowControl/>
              <w:suppressLineNumbers w:val="0"/>
              <w:spacing w:before="0" w:beforeAutospacing="0" w:after="0" w:afterAutospacing="0" w:line="580" w:lineRule="exact"/>
              <w:jc w:val="both"/>
              <w:rPr>
                <w:rFonts w:hint="eastAsia" w:ascii="宋体" w:hAnsi="宋体" w:eastAsia="宋体" w:cs="宋体"/>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both"/>
              <w:textAlignment w:val="top"/>
              <w:rPr>
                <w:rFonts w:hint="eastAsia" w:ascii="宋体" w:hAnsi="宋体" w:eastAsia="宋体" w:cs="宋体"/>
                <w:sz w:val="24"/>
                <w:szCs w:val="24"/>
                <w:lang w:eastAsia="zh-CN"/>
              </w:rPr>
            </w:pPr>
            <w:r>
              <w:rPr>
                <w:rFonts w:hint="eastAsia" w:ascii="宋体" w:hAnsi="宋体" w:eastAsia="宋体" w:cs="宋体"/>
                <w:sz w:val="24"/>
                <w:szCs w:val="24"/>
                <w:lang w:eastAsia="zh-CN"/>
              </w:rPr>
              <w:t>对娱乐场所经营活动的监督检查</w:t>
            </w:r>
          </w:p>
        </w:tc>
        <w:tc>
          <w:tcPr>
            <w:tcW w:w="114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县级娱乐场所经营单位</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书面检查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《娱乐场所管理条例》第三条 县级以上人民政府文化主管部门负责对娱乐场所日常经营活动的监督管理。</w:t>
            </w:r>
          </w:p>
          <w:p>
            <w:pPr>
              <w:keepNext w:val="0"/>
              <w:keepLines w:val="0"/>
              <w:widowControl w:val="0"/>
              <w:suppressLineNumbers w:val="0"/>
              <w:spacing w:before="0" w:beforeAutospacing="0" w:after="0" w:afterAutospacing="0"/>
              <w:ind w:left="0" w:right="0"/>
              <w:jc w:val="both"/>
              <w:rPr>
                <w:rFonts w:hint="default"/>
                <w:szCs w:val="20"/>
              </w:rPr>
            </w:pPr>
            <w:r>
              <w:rPr>
                <w:rFonts w:hint="eastAsia" w:ascii="宋体" w:hAnsi="宋体" w:eastAsia="宋体" w:cs="宋体"/>
                <w:color w:val="000000"/>
                <w:kern w:val="0"/>
                <w:sz w:val="18"/>
                <w:szCs w:val="18"/>
                <w:lang w:val="en-US" w:eastAsia="zh-CN" w:bidi="ar"/>
              </w:rPr>
              <w:t>《娱乐场所管理办法》第四条县级以上人民政府文化主管部门负责所在地娱乐场所经营活动的监管，负责娱乐场所提供的文化产品的内容监管，负责指导所在地娱乐场所行业协会工作。</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037"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rPr>
            </w:pPr>
            <w:r>
              <w:rPr>
                <w:rFonts w:hint="eastAsia" w:ascii="宋体" w:hAnsi="宋体" w:eastAsia="宋体" w:cs="宋体"/>
                <w:sz w:val="24"/>
                <w:szCs w:val="24"/>
              </w:rPr>
              <w:t>对印刷企业的监督检查</w:t>
            </w:r>
          </w:p>
        </w:tc>
        <w:tc>
          <w:tcPr>
            <w:tcW w:w="1140" w:type="dxa"/>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县级印刷企业（含出版物、包装装潢和其他印刷品印刷企业）、打字复印企业</w:t>
            </w: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书面检查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《印刷业管理条例》 （国务院令第315号）</w:t>
            </w:r>
          </w:p>
          <w:p>
            <w:pPr>
              <w:keepNext w:val="0"/>
              <w:keepLines w:val="0"/>
              <w:widowControl w:val="0"/>
              <w:suppressLineNumbers w:val="0"/>
              <w:spacing w:before="0" w:beforeAutospacing="0" w:after="0" w:afterAutospacing="0"/>
              <w:ind w:left="0" w:right="0"/>
              <w:jc w:val="both"/>
              <w:rPr>
                <w:rFonts w:hint="default"/>
                <w:szCs w:val="20"/>
              </w:rPr>
            </w:pPr>
            <w:r>
              <w:rPr>
                <w:rFonts w:hint="eastAsia" w:ascii="宋体" w:hAnsi="宋体" w:eastAsia="宋体" w:cs="宋体"/>
                <w:color w:val="000000"/>
                <w:kern w:val="0"/>
                <w:sz w:val="18"/>
                <w:szCs w:val="18"/>
                <w:lang w:val="en-US" w:eastAsia="zh-CN" w:bidi="ar"/>
              </w:rPr>
              <w:t xml:space="preserve">  第四条  国务院出版行政部门主管全国的印刷业监督管理工作。县级以上地方各级人民政府负责出版管理的行政部门（以下简称出版行政部门）负责本行政区域内的印刷业监督管理工作。</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037" w:type="dxa"/>
            <w:shd w:val="clear" w:color="auto" w:fill="auto"/>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rPr>
            </w:pPr>
            <w:r>
              <w:rPr>
                <w:rFonts w:hint="eastAsia" w:ascii="宋体" w:hAnsi="宋体" w:eastAsia="宋体" w:cs="宋体"/>
                <w:sz w:val="24"/>
                <w:szCs w:val="24"/>
              </w:rPr>
              <w:t>对出版物（含音像制品）零售经营活动的监督检查</w:t>
            </w:r>
          </w:p>
        </w:tc>
        <w:tc>
          <w:tcPr>
            <w:tcW w:w="1140" w:type="dxa"/>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left"/>
              <w:rPr>
                <w:rFonts w:hint="default"/>
                <w:sz w:val="18"/>
                <w:szCs w:val="18"/>
              </w:rPr>
            </w:pPr>
            <w:r>
              <w:rPr>
                <w:rFonts w:hint="eastAsia" w:ascii="宋体" w:hAnsi="宋体" w:eastAsia="宋体" w:cs="宋体"/>
                <w:kern w:val="0"/>
                <w:sz w:val="18"/>
                <w:szCs w:val="18"/>
                <w:lang w:val="en-US" w:eastAsia="zh-CN" w:bidi="ar"/>
              </w:rPr>
              <w:t>县级图书、音像经营单位</w:t>
            </w:r>
          </w:p>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rPr>
            </w:pP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书面检查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szCs w:val="20"/>
              </w:rPr>
            </w:pPr>
            <w:r>
              <w:rPr>
                <w:rFonts w:hint="eastAsia" w:ascii="宋体" w:hAnsi="宋体" w:eastAsia="宋体" w:cs="宋体"/>
                <w:color w:val="000000"/>
                <w:kern w:val="0"/>
                <w:sz w:val="18"/>
                <w:szCs w:val="18"/>
                <w:lang w:val="en-US" w:eastAsia="zh-CN" w:bidi="ar"/>
              </w:rPr>
              <w:t>《出版物市场管理规定》 （2016年国家新闻出版总署、商务部令第10号）第四条第二款  省级以下各级人民政府新闻出版行政部门负责本行政区域内出版物发行活动的监督管理。</w:t>
            </w:r>
          </w:p>
          <w:p>
            <w:pPr>
              <w:pStyle w:val="2"/>
              <w:keepNext w:val="0"/>
              <w:keepLines w:val="0"/>
              <w:widowControl/>
              <w:suppressLineNumbers w:val="0"/>
              <w:spacing w:before="0" w:beforeAutospacing="0" w:after="0" w:afterAutospacing="0" w:line="580" w:lineRule="exact"/>
              <w:jc w:val="both"/>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037" w:type="dxa"/>
            <w:shd w:val="clear" w:color="auto" w:fill="auto"/>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lang w:val="en-US" w:eastAsia="zh-CN" w:bidi="ar"/>
              </w:rPr>
            </w:pPr>
          </w:p>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rPr>
            </w:pPr>
            <w:r>
              <w:rPr>
                <w:rFonts w:hint="eastAsia" w:ascii="宋体" w:hAnsi="宋体" w:eastAsia="宋体" w:cs="宋体"/>
                <w:sz w:val="24"/>
                <w:szCs w:val="24"/>
              </w:rPr>
              <w:t>对电影发行放映场所经营情况的监督检查</w:t>
            </w:r>
          </w:p>
        </w:tc>
        <w:tc>
          <w:tcPr>
            <w:tcW w:w="1140"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rPr>
            </w:pPr>
            <w:r>
              <w:rPr>
                <w:rFonts w:hint="eastAsia" w:ascii="宋体" w:hAnsi="宋体" w:eastAsia="宋体" w:cs="宋体"/>
                <w:kern w:val="0"/>
                <w:sz w:val="18"/>
                <w:szCs w:val="18"/>
                <w:lang w:val="en-US" w:eastAsia="zh-CN" w:bidi="ar"/>
              </w:rPr>
              <w:t>电影放映单位</w:t>
            </w: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书面检查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《电影管理条例》 (国务院令第342号)</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第四条  国务院广播电影电视行政部门主管全国电影工作。</w:t>
            </w:r>
          </w:p>
          <w:p>
            <w:pPr>
              <w:keepNext w:val="0"/>
              <w:keepLines w:val="0"/>
              <w:widowControl w:val="0"/>
              <w:suppressLineNumbers w:val="0"/>
              <w:spacing w:before="0" w:beforeAutospacing="0" w:after="0" w:afterAutospacing="0"/>
              <w:ind w:left="0" w:right="0"/>
              <w:jc w:val="both"/>
              <w:rPr>
                <w:rFonts w:hint="default"/>
                <w:szCs w:val="20"/>
              </w:rPr>
            </w:pPr>
            <w:r>
              <w:rPr>
                <w:rFonts w:hint="eastAsia" w:ascii="宋体" w:hAnsi="宋体" w:eastAsia="宋体" w:cs="宋体"/>
                <w:color w:val="000000"/>
                <w:kern w:val="0"/>
                <w:sz w:val="18"/>
                <w:szCs w:val="18"/>
                <w:lang w:val="en-US" w:eastAsia="zh-CN" w:bidi="ar"/>
              </w:rPr>
              <w:t>县级以上地方人民政府管理电影的行政部门（以下简称电影行政部门），依照本条例的规定负责本行政区域内的电影管理工作。</w:t>
            </w:r>
          </w:p>
          <w:p>
            <w:pPr>
              <w:pStyle w:val="2"/>
              <w:keepNext w:val="0"/>
              <w:keepLines w:val="0"/>
              <w:widowControl/>
              <w:suppressLineNumbers w:val="0"/>
              <w:spacing w:before="0" w:beforeAutospacing="0" w:after="0" w:afterAutospacing="0" w:line="580" w:lineRule="exact"/>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037" w:type="dxa"/>
            <w:shd w:val="clear" w:color="auto" w:fill="auto"/>
            <w:noWrap w:val="0"/>
            <w:vAlign w:val="center"/>
          </w:tcPr>
          <w:p>
            <w:pPr>
              <w:keepNext w:val="0"/>
              <w:keepLines w:val="0"/>
              <w:widowControl w:val="0"/>
              <w:suppressLineNumbers w:val="0"/>
              <w:spacing w:before="0" w:beforeAutospacing="0" w:after="0" w:afterAutospacing="0"/>
              <w:ind w:left="0" w:right="0"/>
              <w:jc w:val="both"/>
              <w:rPr>
                <w:rFonts w:hint="default"/>
                <w:sz w:val="24"/>
                <w:szCs w:val="24"/>
              </w:rPr>
            </w:pPr>
            <w:r>
              <w:rPr>
                <w:rFonts w:hint="eastAsia" w:ascii="宋体" w:hAnsi="宋体" w:eastAsia="宋体" w:cs="宋体"/>
                <w:kern w:val="0"/>
                <w:sz w:val="24"/>
                <w:szCs w:val="24"/>
                <w:lang w:val="en-US" w:eastAsia="zh-CN" w:bidi="ar"/>
              </w:rPr>
              <w:t>经营违法行为监督检查</w:t>
            </w:r>
          </w:p>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rPr>
            </w:pPr>
          </w:p>
        </w:tc>
        <w:tc>
          <w:tcPr>
            <w:tcW w:w="2265"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对经营高危险性体育项目经营情况的监督检查</w:t>
            </w:r>
          </w:p>
        </w:tc>
        <w:tc>
          <w:tcPr>
            <w:tcW w:w="1140"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高危险体育项目经营单位</w:t>
            </w: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实地核查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书面检查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lang w:val="en-US" w:eastAsia="zh-CN" w:bidi="ar"/>
              </w:rPr>
            </w:pPr>
          </w:p>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0"/>
                <w:sz w:val="18"/>
                <w:szCs w:val="18"/>
                <w:lang w:val="en-US" w:eastAsia="zh-CN" w:bidi="ar"/>
              </w:rPr>
            </w:pP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leftChars="0" w:right="0" w:rightChars="0"/>
              <w:jc w:val="both"/>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 xml:space="preserve">《经营高危险性体育项目许可管理办法》（国家体育总局令第17号）第十八条 </w:t>
            </w:r>
            <w:bookmarkStart w:id="0" w:name="_GoBack"/>
            <w:bookmarkEnd w:id="0"/>
            <w:r>
              <w:rPr>
                <w:rFonts w:hint="eastAsia" w:ascii="宋体" w:hAnsi="宋体" w:eastAsia="宋体" w:cs="宋体"/>
                <w:color w:val="000000"/>
                <w:kern w:val="0"/>
                <w:sz w:val="18"/>
                <w:szCs w:val="18"/>
                <w:lang w:val="en-US" w:eastAsia="zh-CN" w:bidi="ar"/>
              </w:rPr>
              <w:t>县级以上地方人民政府体育主管部门应当对经营者从事行政许可事项的活动实施有效监督。</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exact"/>
          <w:jc w:val="center"/>
        </w:trPr>
        <w:tc>
          <w:tcPr>
            <w:tcW w:w="717" w:type="dxa"/>
            <w:shd w:val="clear" w:color="auto" w:fill="auto"/>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037" w:type="dxa"/>
            <w:shd w:val="clear" w:color="auto" w:fill="auto"/>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经营违法行为监督检查</w:t>
            </w:r>
          </w:p>
        </w:tc>
        <w:tc>
          <w:tcPr>
            <w:tcW w:w="2265" w:type="dxa"/>
            <w:shd w:val="clear" w:color="auto" w:fill="FFFFFF"/>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对旅行社超范围经营等违规行为的监管</w:t>
            </w:r>
          </w:p>
        </w:tc>
        <w:tc>
          <w:tcPr>
            <w:tcW w:w="1140" w:type="dxa"/>
            <w:shd w:val="clear" w:color="auto" w:fill="FFFFFF"/>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县级旅行社及其分社</w:t>
            </w:r>
          </w:p>
        </w:tc>
        <w:tc>
          <w:tcPr>
            <w:tcW w:w="1260"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一般检查事项</w:t>
            </w:r>
          </w:p>
        </w:tc>
        <w:tc>
          <w:tcPr>
            <w:tcW w:w="1058"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实地检查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书面检查</w:t>
            </w:r>
          </w:p>
        </w:tc>
        <w:tc>
          <w:tcPr>
            <w:tcW w:w="1222" w:type="dxa"/>
            <w:shd w:val="clear" w:color="auto" w:fill="FFFFFF"/>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县文化和旅游局</w:t>
            </w:r>
          </w:p>
        </w:tc>
        <w:tc>
          <w:tcPr>
            <w:tcW w:w="4272" w:type="dxa"/>
            <w:shd w:val="clear" w:color="auto" w:fill="FFFFFF"/>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《旅行社条例》第四十六条；</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《旅行社条例实施细则》第五十一条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exact"/>
          <w:jc w:val="center"/>
        </w:trPr>
        <w:tc>
          <w:tcPr>
            <w:tcW w:w="717" w:type="dxa"/>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1037"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经营违法行为监督检查</w:t>
            </w:r>
          </w:p>
        </w:tc>
        <w:tc>
          <w:tcPr>
            <w:tcW w:w="2265" w:type="dxa"/>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对在规定期限内企业变更信息、终止经营、设立分社不报备等行为的监管</w:t>
            </w:r>
          </w:p>
        </w:tc>
        <w:tc>
          <w:tcPr>
            <w:tcW w:w="1140" w:type="dxa"/>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县级旅行社及其分社</w:t>
            </w:r>
          </w:p>
        </w:tc>
        <w:tc>
          <w:tcPr>
            <w:tcW w:w="1260"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一般检查事项</w:t>
            </w:r>
          </w:p>
        </w:tc>
        <w:tc>
          <w:tcPr>
            <w:tcW w:w="1058"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实地检查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书面检查</w:t>
            </w:r>
          </w:p>
        </w:tc>
        <w:tc>
          <w:tcPr>
            <w:tcW w:w="1222"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县文化和旅游局</w:t>
            </w:r>
          </w:p>
        </w:tc>
        <w:tc>
          <w:tcPr>
            <w:tcW w:w="4272"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《旅行社条例》第五十条；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exact"/>
          <w:jc w:val="center"/>
        </w:trPr>
        <w:tc>
          <w:tcPr>
            <w:tcW w:w="717" w:type="dxa"/>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w:t>
            </w:r>
          </w:p>
        </w:tc>
        <w:tc>
          <w:tcPr>
            <w:tcW w:w="1037"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经营违法行为监督检查</w:t>
            </w:r>
          </w:p>
        </w:tc>
        <w:tc>
          <w:tcPr>
            <w:tcW w:w="2265" w:type="dxa"/>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对旅行社以不合理低价组织旅游活动行为的监管</w:t>
            </w:r>
          </w:p>
        </w:tc>
        <w:tc>
          <w:tcPr>
            <w:tcW w:w="1140" w:type="dxa"/>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县级旅行社及其分社</w:t>
            </w:r>
          </w:p>
        </w:tc>
        <w:tc>
          <w:tcPr>
            <w:tcW w:w="1260"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一般检查事项</w:t>
            </w:r>
          </w:p>
        </w:tc>
        <w:tc>
          <w:tcPr>
            <w:tcW w:w="1058"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实地检查</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书面检查</w:t>
            </w:r>
          </w:p>
        </w:tc>
        <w:tc>
          <w:tcPr>
            <w:tcW w:w="1222"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县文化和旅游局</w:t>
            </w:r>
          </w:p>
        </w:tc>
        <w:tc>
          <w:tcPr>
            <w:tcW w:w="4272"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《旅行社条例》第六十条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717" w:type="dxa"/>
            <w:noWrap w:val="0"/>
            <w:vAlign w:val="center"/>
          </w:tcPr>
          <w:p>
            <w:pPr>
              <w:keepNext w:val="0"/>
              <w:keepLines w:val="0"/>
              <w:suppressLineNumbers w:val="0"/>
              <w:tabs>
                <w:tab w:val="left" w:pos="1003"/>
              </w:tabs>
              <w:spacing w:before="0" w:beforeAutospacing="0" w:after="0" w:afterAutospacing="0" w:line="580" w:lineRule="exact"/>
              <w:ind w:left="0" w:right="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w:t>
            </w:r>
          </w:p>
        </w:tc>
        <w:tc>
          <w:tcPr>
            <w:tcW w:w="1037"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经营违法行为监督检查</w:t>
            </w:r>
          </w:p>
        </w:tc>
        <w:tc>
          <w:tcPr>
            <w:tcW w:w="2265" w:type="dxa"/>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0"/>
                <w:sz w:val="24"/>
                <w:szCs w:val="24"/>
                <w:highlight w:val="none"/>
                <w:lang w:val="en-US" w:eastAsia="zh-CN" w:bidi="ar"/>
              </w:rPr>
            </w:pPr>
            <w:r>
              <w:rPr>
                <w:rFonts w:hint="eastAsia" w:ascii="宋体" w:hAnsi="宋体" w:eastAsia="宋体" w:cs="宋体"/>
                <w:kern w:val="0"/>
                <w:sz w:val="24"/>
                <w:szCs w:val="24"/>
                <w:highlight w:val="none"/>
                <w:lang w:val="en-US" w:eastAsia="zh-CN" w:bidi="ar"/>
              </w:rPr>
              <w:t>对旅行社虚假宣传行为的监管</w:t>
            </w:r>
          </w:p>
        </w:tc>
        <w:tc>
          <w:tcPr>
            <w:tcW w:w="1140" w:type="dxa"/>
            <w:noWrap w:val="0"/>
            <w:vAlign w:val="center"/>
          </w:tcPr>
          <w:p>
            <w:pPr>
              <w:keepNext w:val="0"/>
              <w:keepLines w:val="0"/>
              <w:widowControl/>
              <w:suppressLineNumbers w:val="0"/>
              <w:spacing w:before="0" w:beforeAutospacing="0" w:after="0" w:afterAutospacing="0" w:line="580" w:lineRule="exact"/>
              <w:ind w:left="0" w:right="0"/>
              <w:jc w:val="center"/>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县级旅行社及其分社</w:t>
            </w:r>
          </w:p>
        </w:tc>
        <w:tc>
          <w:tcPr>
            <w:tcW w:w="1260" w:type="dxa"/>
            <w:noWrap w:val="0"/>
            <w:vAlign w:val="center"/>
          </w:tcPr>
          <w:p>
            <w:pPr>
              <w:keepNext w:val="0"/>
              <w:keepLines w:val="0"/>
              <w:widowControl/>
              <w:suppressLineNumbers w:val="0"/>
              <w:spacing w:before="0" w:beforeAutospacing="0" w:after="0" w:afterAutospacing="0" w:line="580" w:lineRule="exact"/>
              <w:ind w:left="0" w:right="0"/>
              <w:jc w:val="both"/>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一般检查事项</w:t>
            </w:r>
          </w:p>
        </w:tc>
        <w:tc>
          <w:tcPr>
            <w:tcW w:w="1058" w:type="dxa"/>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实地检查</w:t>
            </w:r>
          </w:p>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书面检查</w:t>
            </w:r>
          </w:p>
        </w:tc>
        <w:tc>
          <w:tcPr>
            <w:tcW w:w="1222" w:type="dxa"/>
            <w:noWrap w:val="0"/>
            <w:vAlign w:val="center"/>
          </w:tcPr>
          <w:p>
            <w:pPr>
              <w:keepNext w:val="0"/>
              <w:keepLines w:val="0"/>
              <w:widowControl/>
              <w:suppressLineNumbers w:val="0"/>
              <w:spacing w:before="0" w:beforeAutospacing="0" w:after="0" w:afterAutospacing="0" w:line="580" w:lineRule="exact"/>
              <w:ind w:left="0" w:right="0"/>
              <w:jc w:val="left"/>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县文化和旅游局</w:t>
            </w:r>
          </w:p>
        </w:tc>
        <w:tc>
          <w:tcPr>
            <w:tcW w:w="4272" w:type="dxa"/>
            <w:noWrap w:val="0"/>
            <w:vAlign w:val="center"/>
          </w:tcPr>
          <w:p>
            <w:pPr>
              <w:keepNext w:val="0"/>
              <w:keepLines w:val="0"/>
              <w:widowControl/>
              <w:suppressLineNumbers w:val="0"/>
              <w:spacing w:before="0" w:beforeAutospacing="0" w:after="0" w:afterAutospacing="0" w:line="580" w:lineRule="exact"/>
              <w:ind w:left="0" w:right="0"/>
              <w:jc w:val="both"/>
              <w:textAlignment w:val="top"/>
              <w:rPr>
                <w:rFonts w:hint="eastAsia" w:ascii="宋体" w:hAnsi="宋体" w:eastAsia="宋体" w:cs="宋体"/>
                <w:kern w:val="0"/>
                <w:sz w:val="18"/>
                <w:szCs w:val="18"/>
                <w:highlight w:val="none"/>
                <w:lang w:val="en-US" w:eastAsia="zh-CN" w:bidi="ar"/>
              </w:rPr>
            </w:pPr>
            <w:r>
              <w:rPr>
                <w:rFonts w:hint="eastAsia" w:ascii="宋体" w:hAnsi="宋体" w:eastAsia="宋体" w:cs="宋体"/>
                <w:kern w:val="0"/>
                <w:sz w:val="18"/>
                <w:szCs w:val="18"/>
                <w:highlight w:val="none"/>
                <w:lang w:val="en-US" w:eastAsia="zh-CN" w:bidi="ar"/>
              </w:rPr>
              <w:t>《旅游法》第九十七条</w:t>
            </w:r>
          </w:p>
        </w:tc>
      </w:tr>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614F3"/>
    <w:rsid w:val="021614F3"/>
    <w:rsid w:val="076E0E11"/>
    <w:rsid w:val="0CB50336"/>
    <w:rsid w:val="3B792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2019-12-17T09:20:00Z</dcterms:created>
  <dc:creator>王木木balloon</dc:creator>
  <cp:lastModifiedBy>Administrator</cp:lastModifiedBy>
  <cp:lastPrinted>2019-12-18T08:30:00Z</cp:lastPrinted>
  <dcterms:modified xsi:type="dcterms:W3CDTF">2020-10-16T07:41:12Z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