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“双随机、一公开”抽查执法计划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397"/>
        <w:gridCol w:w="1440"/>
        <w:gridCol w:w="2160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执法检查方式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企业数量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责任股室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第一季度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双随机抽查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工贸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第二季度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以全县部门联合双随机抽查为准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危化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品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第三季度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以全县部门联合双随机抽查为准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工矿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第四季度</w:t>
            </w:r>
          </w:p>
        </w:tc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双随机抽查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0"/>
                <w:tab w:val="left" w:pos="10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工贸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执法大队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13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13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C04B9"/>
    <w:rsid w:val="7D9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2022-04-25T01:48:00Z</dcterms:created>
  <dc:creator>徒农</dc:creator>
  <cp:lastModifiedBy>徒农</cp:lastModifiedBy>
  <dcterms:modified xsi:type="dcterms:W3CDTF">2022-04-25T01:49:32Z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68E560C7599044C79EDD219F7D455EAA</vt:lpwstr>
  </property>
</Properties>
</file>