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left"/>
        <w:rPr>
          <w:rFonts w:hint="eastAsia" w:ascii="黑体" w:hAnsi="黑体" w:eastAsia="黑体" w:cs="宋体"/>
          <w:bCs/>
          <w:kern w:val="0"/>
          <w:sz w:val="32"/>
          <w:szCs w:val="32"/>
          <w:lang w:bidi="ar"/>
        </w:rPr>
      </w:pPr>
      <w:r>
        <w:rPr>
          <w:rFonts w:hint="eastAsia" w:ascii="黑体" w:hAnsi="黑体" w:eastAsia="黑体" w:cs="宋体"/>
          <w:bCs/>
          <w:kern w:val="0"/>
          <w:sz w:val="32"/>
          <w:szCs w:val="32"/>
          <w:lang w:bidi="ar"/>
        </w:rPr>
        <w:t>附件2</w:t>
      </w:r>
    </w:p>
    <w:p>
      <w:pPr>
        <w:spacing w:line="200" w:lineRule="exact"/>
        <w:ind w:firstLine="482" w:firstLineChars="200"/>
        <w:rPr>
          <w:rFonts w:hint="eastAsia" w:ascii="宋体" w:hAnsi="宋体" w:cs="宋体"/>
          <w:b/>
          <w:bCs/>
          <w:kern w:val="0"/>
          <w:sz w:val="24"/>
          <w:lang w:bidi="ar"/>
        </w:rPr>
      </w:pPr>
    </w:p>
    <w:p>
      <w:pPr>
        <w:pStyle w:val="2"/>
        <w:spacing w:line="560" w:lineRule="exact"/>
        <w:ind w:firstLine="696" w:firstLineChars="174"/>
        <w:jc w:val="left"/>
        <w:rPr>
          <w:rFonts w:hint="eastAsia" w:ascii="宋体" w:hAnsi="宋体" w:cs="宋体"/>
          <w:bCs/>
          <w:kern w:val="0"/>
          <w:sz w:val="24"/>
          <w:lang w:bidi="ar"/>
        </w:rPr>
      </w:pPr>
      <w:r>
        <w:rPr>
          <w:rFonts w:hint="eastAsia" w:ascii="方正小标宋简体" w:hAnsi="方正小标宋简体" w:eastAsia="方正小标宋简体" w:cs="方正小标宋简体"/>
          <w:bCs/>
          <w:kern w:val="0"/>
          <w:sz w:val="40"/>
          <w:szCs w:val="40"/>
          <w:lang w:bidi="ar"/>
        </w:rPr>
        <w:t>房县人民政府宣布失效的规范性文件目录</w:t>
      </w:r>
    </w:p>
    <w:p>
      <w:pPr>
        <w:spacing w:line="200" w:lineRule="exact"/>
        <w:ind w:firstLine="640" w:firstLineChars="200"/>
        <w:rPr>
          <w:rFonts w:hint="eastAsia" w:ascii="仿宋_GB2312" w:hAnsi="仿宋_GB2312" w:cs="仿宋_GB2312"/>
        </w:rPr>
      </w:pPr>
    </w:p>
    <w:tbl>
      <w:tblPr>
        <w:tblStyle w:val="3"/>
        <w:tblW w:w="8575" w:type="dxa"/>
        <w:tblInd w:w="93" w:type="dxa"/>
        <w:tblLayout w:type="autofit"/>
        <w:tblCellMar>
          <w:top w:w="0" w:type="dxa"/>
          <w:left w:w="28" w:type="dxa"/>
          <w:bottom w:w="0" w:type="dxa"/>
          <w:right w:w="28" w:type="dxa"/>
        </w:tblCellMar>
      </w:tblPr>
      <w:tblGrid>
        <w:gridCol w:w="695"/>
        <w:gridCol w:w="2660"/>
        <w:gridCol w:w="5220"/>
      </w:tblGrid>
      <w:tr>
        <w:tblPrEx>
          <w:tblCellMar>
            <w:top w:w="0" w:type="dxa"/>
            <w:left w:w="28" w:type="dxa"/>
            <w:bottom w:w="0" w:type="dxa"/>
            <w:right w:w="28" w:type="dxa"/>
          </w:tblCellMar>
        </w:tblPrEx>
        <w:trPr>
          <w:trHeight w:val="540"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仿宋_GB2312"/>
                <w:bCs/>
                <w:sz w:val="24"/>
                <w:szCs w:val="24"/>
              </w:rPr>
            </w:pPr>
            <w:r>
              <w:rPr>
                <w:rFonts w:hint="eastAsia" w:ascii="黑体" w:hAnsi="黑体" w:eastAsia="黑体" w:cs="仿宋_GB2312"/>
                <w:bCs/>
                <w:kern w:val="0"/>
                <w:sz w:val="24"/>
                <w:szCs w:val="24"/>
                <w:lang w:bidi="ar"/>
              </w:rPr>
              <w:t>序号</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仿宋_GB2312"/>
                <w:bCs/>
                <w:sz w:val="24"/>
                <w:szCs w:val="24"/>
              </w:rPr>
            </w:pPr>
            <w:r>
              <w:rPr>
                <w:rFonts w:hint="eastAsia" w:ascii="黑体" w:hAnsi="黑体" w:eastAsia="黑体" w:cs="仿宋_GB2312"/>
                <w:bCs/>
                <w:kern w:val="0"/>
                <w:sz w:val="24"/>
                <w:szCs w:val="24"/>
                <w:lang w:bidi="ar"/>
              </w:rPr>
              <w:t>文号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仿宋_GB2312"/>
                <w:bCs/>
                <w:sz w:val="24"/>
                <w:szCs w:val="24"/>
              </w:rPr>
            </w:pPr>
            <w:r>
              <w:rPr>
                <w:rFonts w:hint="eastAsia" w:ascii="黑体" w:hAnsi="黑体" w:eastAsia="黑体" w:cs="仿宋_GB2312"/>
                <w:bCs/>
                <w:kern w:val="0"/>
                <w:sz w:val="24"/>
                <w:szCs w:val="24"/>
                <w:lang w:bidi="ar"/>
              </w:rPr>
              <w:t>规范性文件名称</w:t>
            </w:r>
          </w:p>
        </w:tc>
      </w:tr>
      <w:tr>
        <w:tblPrEx>
          <w:tblCellMar>
            <w:top w:w="0" w:type="dxa"/>
            <w:left w:w="28" w:type="dxa"/>
            <w:bottom w:w="0" w:type="dxa"/>
            <w:right w:w="2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房政办发〔2019〕31号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房县地名命名与地名管理实施办法</w:t>
            </w:r>
          </w:p>
        </w:tc>
      </w:tr>
      <w:tr>
        <w:tblPrEx>
          <w:tblCellMar>
            <w:top w:w="0" w:type="dxa"/>
            <w:left w:w="28" w:type="dxa"/>
            <w:bottom w:w="0" w:type="dxa"/>
            <w:right w:w="2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2</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房政办发〔2019〕37号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关于印发《房县改革完善全科医生培养与使用激励机制实施方案》的通知</w:t>
            </w:r>
          </w:p>
        </w:tc>
      </w:tr>
      <w:tr>
        <w:tblPrEx>
          <w:tblCellMar>
            <w:top w:w="0" w:type="dxa"/>
            <w:left w:w="28" w:type="dxa"/>
            <w:bottom w:w="0" w:type="dxa"/>
            <w:right w:w="2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3</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房政办发〔2019〕45号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关于印发《房县乡村医生生活补助发放方案》的通知</w:t>
            </w:r>
          </w:p>
        </w:tc>
      </w:tr>
      <w:tr>
        <w:tblPrEx>
          <w:tblCellMar>
            <w:top w:w="0" w:type="dxa"/>
            <w:left w:w="28" w:type="dxa"/>
            <w:bottom w:w="0" w:type="dxa"/>
            <w:right w:w="2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4</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房政办发〔2019〕50号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关于激发重点群体活力带动城乡居民增收实施方案</w:t>
            </w:r>
          </w:p>
        </w:tc>
      </w:tr>
      <w:tr>
        <w:tblPrEx>
          <w:tblCellMar>
            <w:top w:w="0" w:type="dxa"/>
            <w:left w:w="28" w:type="dxa"/>
            <w:bottom w:w="0" w:type="dxa"/>
            <w:right w:w="2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5</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房政办发〔2019〕51号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关于印发《房县志愿服务管理办法》的通知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6</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房政办发〔2019〕58号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关于房县长江流域重点水域退捕补偿（助）政策标准的通知</w:t>
            </w:r>
          </w:p>
        </w:tc>
      </w:tr>
      <w:tr>
        <w:tblPrEx>
          <w:tblCellMar>
            <w:top w:w="0" w:type="dxa"/>
            <w:left w:w="28" w:type="dxa"/>
            <w:bottom w:w="0" w:type="dxa"/>
            <w:right w:w="2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7</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房政办发〔2019〕61号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房县畜禽规模化养殖区域划分实施方案</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8</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房政办发〔2020〕12号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关于房县长江流域重点水域退捕渔民安置保障补充政策的通知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9</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房政办发〔2020〕13号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关于房县长江流域重点水域“三无”船只禁捕退捕奖补政策标准的通知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sz w:val="24"/>
                <w:szCs w:val="24"/>
              </w:rPr>
            </w:pPr>
            <w:r>
              <w:rPr>
                <w:rFonts w:hint="eastAsia" w:ascii="宋体" w:hAnsi="宋体" w:eastAsia="宋体" w:cs="仿宋_GB2312"/>
                <w:kern w:val="0"/>
                <w:sz w:val="24"/>
                <w:szCs w:val="24"/>
                <w:lang w:bidi="ar"/>
              </w:rPr>
              <w:t>10</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房政办发〔2020〕18号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关于进一步加强全县农村医疗卫生服务体系建设的实施办法</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sz w:val="24"/>
                <w:szCs w:val="24"/>
              </w:rPr>
            </w:pPr>
            <w:r>
              <w:rPr>
                <w:rFonts w:hint="eastAsia" w:ascii="宋体" w:hAnsi="宋体" w:eastAsia="宋体" w:cs="仿宋_GB2312"/>
                <w:kern w:val="0"/>
                <w:sz w:val="24"/>
                <w:szCs w:val="24"/>
                <w:lang w:bidi="ar"/>
              </w:rPr>
              <w:t>11</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房政规〔2021〕1号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房县人民政府关于禁止捕猎陆生野生动物的通告</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12</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房政规〔2021〕2号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房县人民政府关于实行砂石矿石采运管理准运单制度的通告</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13</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房政规〔2021〕3号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房县人民政府关于水产种质资源保护区实施全面禁捕的通告</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14</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房政办发〔2021〕3号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关于进一步规范高龄补贴和经济困难高龄及失能老人补贴发放和退出工作的通知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15</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房政办发〔2021〕4号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关于修订完善《应对新冠肺炎疫情巩固脱贫成果的十条意见》的通知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16</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房政办发〔2021〕20号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关于印发房县营商环境问题投诉联动处理办法的通知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kern w:val="0"/>
                <w:sz w:val="24"/>
                <w:szCs w:val="24"/>
                <w:lang w:bidi="ar"/>
              </w:rPr>
            </w:pPr>
            <w:r>
              <w:rPr>
                <w:rFonts w:hint="eastAsia" w:ascii="宋体" w:hAnsi="宋体" w:eastAsia="宋体" w:cs="仿宋_GB2312"/>
                <w:kern w:val="0"/>
                <w:sz w:val="24"/>
                <w:szCs w:val="24"/>
                <w:lang w:bidi="ar"/>
              </w:rPr>
              <w:t>17</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房政办发〔2021〕21号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关于印发《房县防止耕地“非粮化”稳定粮食生产实施方案》的通知</w:t>
            </w:r>
          </w:p>
        </w:tc>
      </w:tr>
      <w:tr>
        <w:tblPrEx>
          <w:tblCellMar>
            <w:top w:w="0" w:type="dxa"/>
            <w:left w:w="28" w:type="dxa"/>
            <w:bottom w:w="0" w:type="dxa"/>
            <w:right w:w="2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18</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房政办发〔2021〕22号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关于印发《房县林权类不动产登记实施方案》的通知</w:t>
            </w:r>
          </w:p>
        </w:tc>
      </w:tr>
      <w:tr>
        <w:tblPrEx>
          <w:tblCellMar>
            <w:top w:w="0" w:type="dxa"/>
            <w:left w:w="28" w:type="dxa"/>
            <w:bottom w:w="0" w:type="dxa"/>
            <w:right w:w="2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kern w:val="0"/>
                <w:sz w:val="24"/>
                <w:szCs w:val="24"/>
                <w:lang w:bidi="ar"/>
              </w:rPr>
            </w:pPr>
            <w:r>
              <w:rPr>
                <w:rFonts w:hint="eastAsia" w:ascii="宋体" w:hAnsi="宋体" w:eastAsia="宋体" w:cs="仿宋_GB2312"/>
                <w:kern w:val="0"/>
                <w:sz w:val="24"/>
                <w:szCs w:val="24"/>
                <w:lang w:bidi="ar"/>
              </w:rPr>
              <w:t>19</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房政办发〔2021〕29号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关于支持全县羊肚菌发展的意见</w:t>
            </w:r>
          </w:p>
        </w:tc>
      </w:tr>
      <w:tr>
        <w:tblPrEx>
          <w:tblCellMar>
            <w:top w:w="0" w:type="dxa"/>
            <w:left w:w="28" w:type="dxa"/>
            <w:bottom w:w="0" w:type="dxa"/>
            <w:right w:w="2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20</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房政办发〔2021〕31号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关于印发《房县开展屋顶光伏整县推进试点的实施方案》的通知</w:t>
            </w:r>
          </w:p>
        </w:tc>
      </w:tr>
      <w:tr>
        <w:tblPrEx>
          <w:tblCellMar>
            <w:top w:w="0" w:type="dxa"/>
            <w:left w:w="28" w:type="dxa"/>
            <w:bottom w:w="0" w:type="dxa"/>
            <w:right w:w="2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kern w:val="0"/>
                <w:sz w:val="24"/>
                <w:szCs w:val="24"/>
                <w:lang w:bidi="ar"/>
              </w:rPr>
            </w:pPr>
            <w:r>
              <w:rPr>
                <w:rFonts w:hint="eastAsia" w:ascii="宋体" w:hAnsi="宋体" w:eastAsia="宋体" w:cs="仿宋_GB2312"/>
                <w:kern w:val="0"/>
                <w:sz w:val="24"/>
                <w:szCs w:val="24"/>
                <w:lang w:bidi="ar"/>
              </w:rPr>
              <w:t>21</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房政办发〔2021〕39号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kern w:val="0"/>
                <w:sz w:val="24"/>
                <w:szCs w:val="24"/>
                <w:lang w:bidi="ar"/>
              </w:rPr>
            </w:pPr>
            <w:r>
              <w:rPr>
                <w:rFonts w:hint="eastAsia" w:ascii="宋体" w:hAnsi="宋体" w:eastAsia="宋体" w:cs="仿宋_GB2312"/>
                <w:kern w:val="0"/>
                <w:sz w:val="24"/>
                <w:szCs w:val="24"/>
                <w:lang w:bidi="ar"/>
              </w:rPr>
              <w:t>关于进一步激发创业创新活力促进市场主体高质量发展的实施意见</w:t>
            </w:r>
          </w:p>
        </w:tc>
      </w:tr>
      <w:tr>
        <w:tblPrEx>
          <w:tblCellMar>
            <w:top w:w="0" w:type="dxa"/>
            <w:left w:w="28" w:type="dxa"/>
            <w:bottom w:w="0" w:type="dxa"/>
            <w:right w:w="2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sz w:val="24"/>
                <w:szCs w:val="24"/>
              </w:rPr>
            </w:pPr>
            <w:r>
              <w:rPr>
                <w:rFonts w:hint="eastAsia" w:ascii="宋体" w:hAnsi="宋体" w:eastAsia="宋体" w:cs="仿宋_GB2312"/>
                <w:kern w:val="0"/>
                <w:sz w:val="24"/>
                <w:szCs w:val="24"/>
                <w:lang w:bidi="ar"/>
              </w:rPr>
              <w:t>22</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房政发〔2022〕4号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关于进一步鼓励汽车消费的十条意见</w:t>
            </w:r>
          </w:p>
        </w:tc>
      </w:tr>
      <w:tr>
        <w:tblPrEx>
          <w:tblCellMar>
            <w:top w:w="0" w:type="dxa"/>
            <w:left w:w="28" w:type="dxa"/>
            <w:bottom w:w="0" w:type="dxa"/>
            <w:right w:w="2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sz w:val="24"/>
                <w:szCs w:val="24"/>
              </w:rPr>
            </w:pPr>
            <w:r>
              <w:rPr>
                <w:rFonts w:hint="eastAsia" w:ascii="宋体" w:hAnsi="宋体" w:eastAsia="宋体" w:cs="仿宋_GB2312"/>
                <w:kern w:val="0"/>
                <w:sz w:val="24"/>
                <w:szCs w:val="24"/>
                <w:lang w:bidi="ar"/>
              </w:rPr>
              <w:t>23</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房政办发〔2022〕17号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关于支持市场主体倍增发展的六条意见</w:t>
            </w:r>
          </w:p>
        </w:tc>
      </w:tr>
      <w:tr>
        <w:tblPrEx>
          <w:tblCellMar>
            <w:top w:w="0" w:type="dxa"/>
            <w:left w:w="28" w:type="dxa"/>
            <w:bottom w:w="0" w:type="dxa"/>
            <w:right w:w="2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sz w:val="24"/>
                <w:szCs w:val="24"/>
              </w:rPr>
            </w:pPr>
            <w:r>
              <w:rPr>
                <w:rFonts w:hint="eastAsia" w:ascii="宋体" w:hAnsi="宋体" w:eastAsia="宋体" w:cs="仿宋_GB2312"/>
                <w:kern w:val="0"/>
                <w:sz w:val="24"/>
                <w:szCs w:val="24"/>
                <w:lang w:bidi="ar"/>
              </w:rPr>
              <w:t>24</w:t>
            </w:r>
          </w:p>
        </w:tc>
        <w:tc>
          <w:tcPr>
            <w:tcW w:w="26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房政办发〔2022〕23号</w:t>
            </w:r>
          </w:p>
        </w:tc>
        <w:tc>
          <w:tcPr>
            <w:tcW w:w="5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仿宋_GB2312"/>
                <w:sz w:val="24"/>
                <w:szCs w:val="24"/>
              </w:rPr>
            </w:pPr>
            <w:r>
              <w:rPr>
                <w:rFonts w:hint="eastAsia" w:ascii="宋体" w:hAnsi="宋体" w:eastAsia="宋体" w:cs="仿宋_GB2312"/>
                <w:kern w:val="0"/>
                <w:sz w:val="24"/>
                <w:szCs w:val="24"/>
                <w:lang w:bidi="ar"/>
              </w:rPr>
              <w:t>关于支持秸秆综合利用的六条意见</w:t>
            </w:r>
          </w:p>
        </w:tc>
      </w:tr>
    </w:tbl>
    <w:p>
      <w:pPr>
        <w:pStyle w:val="2"/>
        <w:spacing w:line="560" w:lineRule="exact"/>
        <w:ind w:firstLine="640"/>
        <w:jc w:val="left"/>
        <w:rPr>
          <w:rFonts w:hint="eastAsia" w:ascii="仿宋_GB2312" w:hAnsi="仿宋_GB2312" w:eastAsia="仿宋_GB2312" w:cs="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w:altName w:val="CG Times"/>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WU2OWFiODA3MzEwZWZiZGEyNjg2MzkyODM5NDIifQ=="/>
  </w:docVars>
  <w:rsids>
    <w:rsidRoot w:val="6D235EDE"/>
    <w:rsid w:val="03581471"/>
    <w:rsid w:val="042B102D"/>
    <w:rsid w:val="05CD2A98"/>
    <w:rsid w:val="0B8E44A1"/>
    <w:rsid w:val="0E3D70CC"/>
    <w:rsid w:val="10AE2512"/>
    <w:rsid w:val="1104308F"/>
    <w:rsid w:val="11200CE5"/>
    <w:rsid w:val="118B008D"/>
    <w:rsid w:val="125B0495"/>
    <w:rsid w:val="1BE47C3F"/>
    <w:rsid w:val="1EDC78C6"/>
    <w:rsid w:val="1FF05B83"/>
    <w:rsid w:val="24DB1CE5"/>
    <w:rsid w:val="27EE1479"/>
    <w:rsid w:val="27F313EB"/>
    <w:rsid w:val="28203215"/>
    <w:rsid w:val="299A42BE"/>
    <w:rsid w:val="2CB13108"/>
    <w:rsid w:val="2DA056EF"/>
    <w:rsid w:val="2DF6735B"/>
    <w:rsid w:val="2EF153D7"/>
    <w:rsid w:val="30A22298"/>
    <w:rsid w:val="30E80C43"/>
    <w:rsid w:val="31F41749"/>
    <w:rsid w:val="32C21D56"/>
    <w:rsid w:val="33206645"/>
    <w:rsid w:val="381000DC"/>
    <w:rsid w:val="39AB074E"/>
    <w:rsid w:val="3E4A35B6"/>
    <w:rsid w:val="3F413AED"/>
    <w:rsid w:val="42F65D98"/>
    <w:rsid w:val="436D3BDB"/>
    <w:rsid w:val="46A2157D"/>
    <w:rsid w:val="4AA0241D"/>
    <w:rsid w:val="4B0B1191"/>
    <w:rsid w:val="4B520773"/>
    <w:rsid w:val="4BC4671E"/>
    <w:rsid w:val="52DC736E"/>
    <w:rsid w:val="5D5B7107"/>
    <w:rsid w:val="633D7BEC"/>
    <w:rsid w:val="683175DB"/>
    <w:rsid w:val="6B691A9C"/>
    <w:rsid w:val="6C2C04AC"/>
    <w:rsid w:val="6D235EDE"/>
    <w:rsid w:val="6FF03E0C"/>
    <w:rsid w:val="705D2F4D"/>
    <w:rsid w:val="70CF37B9"/>
    <w:rsid w:val="79CB1632"/>
    <w:rsid w:val="7A4A43A6"/>
    <w:rsid w:val="7ED8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2023-11-24T08:21:00Z</dcterms:created>
  <dc:creator>lenovo</dc:creator>
  <cp:lastModifiedBy>lenovo</cp:lastModifiedBy>
  <dcterms:modified xsi:type="dcterms:W3CDTF">2023-11-24T08:21:46Z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413B5E55ACB7485EA960587C5221BF90_11</vt:lpwstr>
  </property>
</Properties>
</file>